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4" w:rsidRPr="005A5442" w:rsidRDefault="002E0EC4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Dotplots Level 1</w:t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  <w:t>Name:___________________</w:t>
      </w:r>
    </w:p>
    <w:p w:rsidR="002E0EC4" w:rsidRPr="005A5442" w:rsidRDefault="002E0EC4">
      <w:pPr>
        <w:rPr>
          <w:rFonts w:ascii="Comic Sans MS" w:hAnsi="Comic Sans MS" w:cs="Comic Sans MS"/>
          <w:sz w:val="20"/>
          <w:szCs w:val="20"/>
        </w:rPr>
      </w:pPr>
    </w:p>
    <w:p w:rsidR="002E0EC4" w:rsidRPr="005A5442" w:rsidRDefault="002E0EC4">
      <w:pPr>
        <w:rPr>
          <w:rFonts w:ascii="Comic Sans MS" w:hAnsi="Comic Sans MS" w:cs="Comic Sans MS"/>
          <w:sz w:val="20"/>
          <w:szCs w:val="20"/>
        </w:rPr>
      </w:pPr>
      <w:r w:rsidRPr="005A5442">
        <w:rPr>
          <w:rFonts w:ascii="Comic Sans MS" w:hAnsi="Comic Sans MS" w:cs="Comic Sans MS"/>
          <w:sz w:val="20"/>
          <w:szCs w:val="20"/>
        </w:rPr>
        <w:t>Create two dotplots using the data below.  Make two separate plots but scale your axis the same for both graphs for comparison.</w:t>
      </w:r>
    </w:p>
    <w:p w:rsidR="002E0EC4" w:rsidRPr="005A5442" w:rsidRDefault="002E0EC4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2E0EC4" w:rsidRPr="003F5C5E">
        <w:tc>
          <w:tcPr>
            <w:tcW w:w="9576" w:type="dxa"/>
          </w:tcPr>
          <w:p w:rsidR="002E0EC4" w:rsidRPr="003F5C5E" w:rsidRDefault="002E0EC4" w:rsidP="005663E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Data Set 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"/>
              <w:gridCol w:w="934"/>
              <w:gridCol w:w="934"/>
              <w:gridCol w:w="934"/>
              <w:gridCol w:w="934"/>
              <w:gridCol w:w="935"/>
              <w:gridCol w:w="935"/>
              <w:gridCol w:w="935"/>
              <w:gridCol w:w="935"/>
              <w:gridCol w:w="935"/>
            </w:tblGrid>
            <w:tr w:rsidR="002E0EC4" w:rsidRPr="003F5C5E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Construct a dotplot for Data Set A.</w:t>
            </w: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line id="_x0000_s1026" style="position:absolute;z-index:251658240" from="45pt,.55pt" to="414pt,.55pt">
                  <v:stroke startarrow="block" endarrow="block"/>
                </v:line>
              </w:pict>
            </w: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E0EC4" w:rsidRPr="003F5C5E">
        <w:tc>
          <w:tcPr>
            <w:tcW w:w="9576" w:type="dxa"/>
          </w:tcPr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Data Set B: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"/>
              <w:gridCol w:w="934"/>
              <w:gridCol w:w="934"/>
              <w:gridCol w:w="934"/>
              <w:gridCol w:w="934"/>
              <w:gridCol w:w="935"/>
              <w:gridCol w:w="935"/>
              <w:gridCol w:w="935"/>
              <w:gridCol w:w="935"/>
              <w:gridCol w:w="935"/>
            </w:tblGrid>
            <w:tr w:rsidR="002E0EC4" w:rsidRPr="003F5C5E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5A544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Construct a dotplot for Data Set B</w:t>
            </w: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line id="_x0000_s1027" style="position:absolute;z-index:251659264" from="36pt,5.4pt" to="405pt,5.4pt">
                  <v:stroke startarrow="block" endarrow="block"/>
                </v:line>
              </w:pict>
            </w: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E0EC4" w:rsidRPr="003F5C5E">
        <w:tc>
          <w:tcPr>
            <w:tcW w:w="9576" w:type="dxa"/>
            <w:tcBorders>
              <w:bottom w:val="nil"/>
            </w:tcBorders>
          </w:tcPr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Comment on the similarities and differences between Data Set A and Data Set B</w:t>
            </w:r>
            <w:r>
              <w:rPr>
                <w:rFonts w:ascii="Comic Sans MS" w:hAnsi="Comic Sans MS" w:cs="Comic Sans MS"/>
                <w:sz w:val="20"/>
                <w:szCs w:val="20"/>
              </w:rPr>
              <w:t>.  Think about comparing the centers and spreads of the dotplots.</w:t>
            </w: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2E0EC4" w:rsidRDefault="002E0EC4">
      <w:pPr>
        <w:rPr>
          <w:rFonts w:ascii="Comic Sans MS" w:hAnsi="Comic Sans MS" w:cs="Comic Sans MS"/>
          <w:sz w:val="20"/>
          <w:szCs w:val="20"/>
        </w:rPr>
      </w:pPr>
    </w:p>
    <w:p w:rsidR="002E0EC4" w:rsidRPr="005A5442" w:rsidRDefault="002E0EC4" w:rsidP="005663E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Dotplots Level 2</w:t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ab/>
        <w:t>Name:___________________</w:t>
      </w:r>
    </w:p>
    <w:p w:rsidR="002E0EC4" w:rsidRPr="005A5442" w:rsidRDefault="002E0EC4" w:rsidP="005663E9">
      <w:pPr>
        <w:rPr>
          <w:rFonts w:ascii="Comic Sans MS" w:hAnsi="Comic Sans MS" w:cs="Comic Sans MS"/>
          <w:sz w:val="20"/>
          <w:szCs w:val="20"/>
        </w:rPr>
      </w:pPr>
    </w:p>
    <w:p w:rsidR="002E0EC4" w:rsidRPr="005A5442" w:rsidRDefault="002E0EC4" w:rsidP="005663E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 data below give the student-to-teacher ratio (how many students per 1 teacher on average) for 20 different schools…10 with a high number of students meeting standards and 10 with a low number of students meeting standards.</w:t>
      </w:r>
    </w:p>
    <w:p w:rsidR="002E0EC4" w:rsidRPr="005A5442" w:rsidRDefault="002E0EC4" w:rsidP="005663E9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2E0EC4" w:rsidRPr="003F5C5E">
        <w:tc>
          <w:tcPr>
            <w:tcW w:w="9576" w:type="dxa"/>
          </w:tcPr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Here are the student-to-teacher ratios at 10 schools where a high number of students are meeting standards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"/>
              <w:gridCol w:w="934"/>
              <w:gridCol w:w="934"/>
              <w:gridCol w:w="934"/>
              <w:gridCol w:w="934"/>
              <w:gridCol w:w="935"/>
              <w:gridCol w:w="935"/>
              <w:gridCol w:w="935"/>
              <w:gridCol w:w="935"/>
              <w:gridCol w:w="935"/>
            </w:tblGrid>
            <w:tr w:rsidR="002E0EC4" w:rsidRPr="003F5C5E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Construct a dotplot for this data</w:t>
            </w: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z-index:251660288" from="36.1pt,8.85pt" to="405.1pt,8.85pt">
                  <v:stroke startarrow="block" endarrow="block"/>
                </v:line>
              </w:pict>
            </w: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E0EC4" w:rsidRPr="003F5C5E">
        <w:tc>
          <w:tcPr>
            <w:tcW w:w="9576" w:type="dxa"/>
          </w:tcPr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Here are the student-to-teacher ratios at 10 schools where a low number of students are meeting standards: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"/>
              <w:gridCol w:w="934"/>
              <w:gridCol w:w="934"/>
              <w:gridCol w:w="934"/>
              <w:gridCol w:w="934"/>
              <w:gridCol w:w="935"/>
              <w:gridCol w:w="935"/>
              <w:gridCol w:w="935"/>
              <w:gridCol w:w="935"/>
              <w:gridCol w:w="935"/>
            </w:tblGrid>
            <w:tr w:rsidR="002E0EC4" w:rsidRPr="003F5C5E"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EC4" w:rsidRPr="003F5C5E" w:rsidRDefault="002E0EC4" w:rsidP="003F5C5E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3F5C5E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</w:tr>
          </w:tbl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Construct a dotplot for this data</w:t>
            </w: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pict>
                <v:line id="_x0000_s1029" style="position:absolute;z-index:251661312" from="36.2pt,3.9pt" to="405.2pt,3.9pt">
                  <v:stroke startarrow="block" endarrow="block"/>
                </v:line>
              </w:pict>
            </w: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E0EC4" w:rsidRPr="003F5C5E">
        <w:tc>
          <w:tcPr>
            <w:tcW w:w="9576" w:type="dxa"/>
            <w:tcBorders>
              <w:bottom w:val="nil"/>
            </w:tcBorders>
          </w:tcPr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Comment on the similarities and differences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3F5C5E">
              <w:rPr>
                <w:rFonts w:ascii="Comic Sans MS" w:hAnsi="Comic Sans MS" w:cs="Comic Sans MS"/>
                <w:sz w:val="20"/>
                <w:szCs w:val="20"/>
              </w:rPr>
              <w:t>between the two distributions</w:t>
            </w: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E0EC4" w:rsidRPr="003F5C5E" w:rsidRDefault="002E0EC4" w:rsidP="00BB521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2E0EC4" w:rsidRDefault="002E0EC4" w:rsidP="005663E9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Dotplots Level 3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 w:rsidRPr="005A5442">
        <w:rPr>
          <w:rFonts w:ascii="Comic Sans MS" w:hAnsi="Comic Sans MS" w:cs="Comic Sans MS"/>
          <w:sz w:val="20"/>
          <w:szCs w:val="20"/>
        </w:rPr>
        <w:t>Name:___________________</w:t>
      </w:r>
    </w:p>
    <w:p w:rsidR="002E0EC4" w:rsidRDefault="002E0EC4" w:rsidP="005663E9">
      <w:pPr>
        <w:rPr>
          <w:rFonts w:ascii="Comic Sans MS" w:hAnsi="Comic Sans MS" w:cs="Comic Sans MS"/>
          <w:sz w:val="20"/>
          <w:szCs w:val="20"/>
        </w:rPr>
      </w:pPr>
    </w:p>
    <w:p w:rsidR="002E0EC4" w:rsidRPr="005663E9" w:rsidRDefault="002E0EC4" w:rsidP="005663E9">
      <w:pPr>
        <w:rPr>
          <w:rFonts w:ascii="Comic Sans MS" w:hAnsi="Comic Sans MS" w:cs="Comic Sans MS"/>
          <w:sz w:val="20"/>
          <w:szCs w:val="20"/>
        </w:rPr>
      </w:pPr>
      <w:r w:rsidRPr="005663E9">
        <w:rPr>
          <w:rFonts w:ascii="Comic Sans MS" w:hAnsi="Comic Sans MS" w:cs="Comic Sans MS"/>
          <w:sz w:val="20"/>
          <w:szCs w:val="20"/>
        </w:rPr>
        <w:t xml:space="preserve">A certain state’s education commissioner released a new report card for all the public schools in that state. </w:t>
      </w:r>
    </w:p>
    <w:p w:rsidR="002E0EC4" w:rsidRPr="005663E9" w:rsidRDefault="002E0EC4" w:rsidP="005663E9">
      <w:pPr>
        <w:rPr>
          <w:rFonts w:ascii="Comic Sans MS" w:hAnsi="Comic Sans MS" w:cs="Comic Sans MS"/>
          <w:sz w:val="20"/>
          <w:szCs w:val="20"/>
        </w:rPr>
      </w:pPr>
      <w:r w:rsidRPr="005663E9">
        <w:rPr>
          <w:rFonts w:ascii="Comic Sans MS" w:hAnsi="Comic Sans MS" w:cs="Comic Sans MS"/>
          <w:sz w:val="20"/>
          <w:szCs w:val="20"/>
        </w:rPr>
        <w:t>This report card provides a new tool for comparing schools across the stat</w:t>
      </w:r>
      <w:r>
        <w:rPr>
          <w:rFonts w:ascii="Comic Sans MS" w:hAnsi="Comic Sans MS" w:cs="Comic Sans MS"/>
          <w:sz w:val="20"/>
          <w:szCs w:val="20"/>
        </w:rPr>
        <w:t xml:space="preserve">e. One of the key measures that can be </w:t>
      </w:r>
      <w:r w:rsidRPr="005663E9">
        <w:rPr>
          <w:rFonts w:ascii="Comic Sans MS" w:hAnsi="Comic Sans MS" w:cs="Comic Sans MS"/>
          <w:sz w:val="20"/>
          <w:szCs w:val="20"/>
        </w:rPr>
        <w:t xml:space="preserve">computed from the report card is the student-to-teacher ratio, </w:t>
      </w:r>
      <w:r>
        <w:rPr>
          <w:rFonts w:ascii="Comic Sans MS" w:hAnsi="Comic Sans MS" w:cs="Comic Sans MS"/>
          <w:sz w:val="20"/>
          <w:szCs w:val="20"/>
        </w:rPr>
        <w:t xml:space="preserve">which is the number of students enrolled in a given </w:t>
      </w:r>
      <w:r w:rsidRPr="005663E9">
        <w:rPr>
          <w:rFonts w:ascii="Comic Sans MS" w:hAnsi="Comic Sans MS" w:cs="Comic Sans MS"/>
          <w:sz w:val="20"/>
          <w:szCs w:val="20"/>
        </w:rPr>
        <w:t xml:space="preserve">school divided by the number of teachers at that school. </w:t>
      </w:r>
    </w:p>
    <w:p w:rsidR="002E0EC4" w:rsidRDefault="002E0EC4" w:rsidP="005663E9">
      <w:pPr>
        <w:rPr>
          <w:rFonts w:ascii="Comic Sans MS" w:hAnsi="Comic Sans MS" w:cs="Comic Sans MS"/>
          <w:sz w:val="20"/>
          <w:szCs w:val="20"/>
        </w:rPr>
      </w:pPr>
    </w:p>
    <w:p w:rsidR="002E0EC4" w:rsidRPr="005A5442" w:rsidRDefault="002E0EC4" w:rsidP="005663E9">
      <w:pPr>
        <w:rPr>
          <w:rFonts w:ascii="Comic Sans MS" w:hAnsi="Comic Sans MS" w:cs="Comic Sans MS"/>
          <w:sz w:val="20"/>
          <w:szCs w:val="20"/>
        </w:rPr>
      </w:pPr>
      <w:r w:rsidRPr="005663E9">
        <w:rPr>
          <w:rFonts w:ascii="Comic Sans MS" w:hAnsi="Comic Sans MS" w:cs="Comic Sans MS"/>
          <w:sz w:val="20"/>
          <w:szCs w:val="20"/>
        </w:rPr>
        <w:t>The data below give the student-to-teacher ratio at the 10 schools with the highe</w:t>
      </w:r>
      <w:r>
        <w:rPr>
          <w:rFonts w:ascii="Comic Sans MS" w:hAnsi="Comic Sans MS" w:cs="Comic Sans MS"/>
          <w:sz w:val="20"/>
          <w:szCs w:val="20"/>
        </w:rPr>
        <w:t xml:space="preserve">st proportion of students meeting </w:t>
      </w:r>
      <w:r w:rsidRPr="005663E9">
        <w:rPr>
          <w:rFonts w:ascii="Comic Sans MS" w:hAnsi="Comic Sans MS" w:cs="Comic Sans MS"/>
          <w:sz w:val="20"/>
          <w:szCs w:val="20"/>
        </w:rPr>
        <w:t xml:space="preserve">the state reading standards in the third grade and at the 10 schools with the lowest </w:t>
      </w:r>
      <w:r>
        <w:rPr>
          <w:rFonts w:ascii="Comic Sans MS" w:hAnsi="Comic Sans MS" w:cs="Comic Sans MS"/>
          <w:sz w:val="20"/>
          <w:szCs w:val="20"/>
        </w:rPr>
        <w:t xml:space="preserve">proportion of students meeting </w:t>
      </w:r>
      <w:r w:rsidRPr="005663E9">
        <w:rPr>
          <w:rFonts w:ascii="Comic Sans MS" w:hAnsi="Comic Sans MS" w:cs="Comic Sans MS"/>
          <w:sz w:val="20"/>
          <w:szCs w:val="20"/>
        </w:rPr>
        <w:t>the state reading standards in the third grade.</w:t>
      </w:r>
    </w:p>
    <w:p w:rsidR="002E0EC4" w:rsidRDefault="002E0EC4" w:rsidP="005663E9">
      <w:pPr>
        <w:jc w:val="center"/>
        <w:rPr>
          <w:rFonts w:ascii="Comic Sans MS" w:hAnsi="Comic Sans MS" w:cs="Comic Sans MS"/>
          <w:sz w:val="20"/>
          <w:szCs w:val="20"/>
        </w:rPr>
      </w:pPr>
    </w:p>
    <w:p w:rsidR="002E0EC4" w:rsidRDefault="002E0EC4" w:rsidP="005663E9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Ratios in the 10 Schools</w:t>
      </w:r>
    </w:p>
    <w:p w:rsidR="002E0EC4" w:rsidRPr="005A5442" w:rsidRDefault="002E0EC4" w:rsidP="005663E9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with Highest Proportion of Students Meeting Standards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E0EC4" w:rsidRPr="003F5C5E">
        <w:trPr>
          <w:jc w:val="center"/>
        </w:trPr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21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22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9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17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17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</w:tr>
    </w:tbl>
    <w:p w:rsidR="002E0EC4" w:rsidRDefault="002E0EC4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BB5210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Ratios in the 10 Schools</w:t>
      </w:r>
    </w:p>
    <w:p w:rsidR="002E0EC4" w:rsidRPr="005A5442" w:rsidRDefault="002E0EC4" w:rsidP="005663E9">
      <w:pPr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with Lowest Proportion of Students Meeting Standards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E0EC4" w:rsidRPr="003F5C5E">
        <w:trPr>
          <w:jc w:val="center"/>
        </w:trPr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14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  <w:tc>
          <w:tcPr>
            <w:tcW w:w="934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14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16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20</w:t>
            </w:r>
          </w:p>
        </w:tc>
        <w:tc>
          <w:tcPr>
            <w:tcW w:w="935" w:type="dxa"/>
          </w:tcPr>
          <w:p w:rsidR="002E0EC4" w:rsidRPr="003F5C5E" w:rsidRDefault="002E0EC4" w:rsidP="003F5C5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3F5C5E">
              <w:rPr>
                <w:rFonts w:ascii="Comic Sans MS" w:hAnsi="Comic Sans MS" w:cs="Comic Sans MS"/>
                <w:sz w:val="20"/>
                <w:szCs w:val="20"/>
              </w:rPr>
              <w:t>19</w:t>
            </w:r>
          </w:p>
        </w:tc>
      </w:tr>
    </w:tbl>
    <w:p w:rsidR="002E0EC4" w:rsidRDefault="002E0EC4" w:rsidP="005663E9">
      <w:pPr>
        <w:jc w:val="center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</w:t>
      </w:r>
      <w:r w:rsidRPr="00D836A7">
        <w:rPr>
          <w:rFonts w:ascii="Comic Sans MS" w:hAnsi="Comic Sans MS" w:cs="Comic Sans MS"/>
          <w:sz w:val="20"/>
          <w:szCs w:val="20"/>
        </w:rPr>
        <w:t xml:space="preserve">Display a dotplot for each group to compare the distribution of student-to-teacher ratios in the top 10 schools with the distribution in the bottom 10 schools. </w:t>
      </w: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Pr="00D836A7" w:rsidRDefault="002E0EC4" w:rsidP="00D836A7">
      <w:pPr>
        <w:pStyle w:val="ListParagraph"/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>Comment on the similarities and differences between the two distributions.</w:t>
      </w: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Default="002E0EC4" w:rsidP="00D836A7">
      <w:r>
        <w:rPr>
          <w:rFonts w:ascii="Comic Sans MS" w:hAnsi="Comic Sans MS" w:cs="Comic Sans MS"/>
          <w:sz w:val="20"/>
          <w:szCs w:val="20"/>
        </w:rPr>
        <w:t xml:space="preserve">Source: </w:t>
      </w:r>
      <w:hyperlink r:id="rId5" w:history="1">
        <w:r>
          <w:rPr>
            <w:rStyle w:val="Hyperlink"/>
          </w:rPr>
          <w:t>http://apcentral.collegeboard.com/apc/public/repository/ap08_stat_form_b_frq.pdf</w:t>
        </w:r>
      </w:hyperlink>
    </w:p>
    <w:p w:rsidR="002E0EC4" w:rsidRDefault="002E0EC4" w:rsidP="00D836A7">
      <w:hyperlink r:id="rId6" w:history="1">
        <w:r>
          <w:rPr>
            <w:rStyle w:val="Hyperlink"/>
          </w:rPr>
          <w:t>http://apcentral.collegeboard.com/apc/public/repository/ap08_statistics_form_b_sgs.pdf</w:t>
        </w:r>
      </w:hyperlink>
    </w:p>
    <w:p w:rsidR="002E0EC4" w:rsidRDefault="002E0EC4" w:rsidP="00D836A7"/>
    <w:p w:rsidR="002E0EC4" w:rsidRDefault="002E0EC4" w:rsidP="00D836A7">
      <w:r>
        <w:t>Scoring Guidelines from AP:</w:t>
      </w:r>
    </w:p>
    <w:p w:rsidR="002E0EC4" w:rsidRDefault="002E0EC4" w:rsidP="00D836A7"/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Solution:</w:t>
      </w: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6224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65pt;height:130.5pt;visibility:visible">
            <v:imagedata r:id="rId7" o:title=""/>
          </v:shape>
        </w:pict>
      </w: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>A similarity is that the two distributions are centered in approximately the same p</w:t>
      </w:r>
      <w:r>
        <w:rPr>
          <w:rFonts w:ascii="Comic Sans MS" w:hAnsi="Comic Sans MS" w:cs="Comic Sans MS"/>
          <w:sz w:val="20"/>
          <w:szCs w:val="20"/>
        </w:rPr>
        <w:t xml:space="preserve">lace. A difference is that the </w:t>
      </w:r>
      <w:r w:rsidRPr="00D836A7">
        <w:rPr>
          <w:rFonts w:ascii="Comic Sans MS" w:hAnsi="Comic Sans MS" w:cs="Comic Sans MS"/>
          <w:sz w:val="20"/>
          <w:szCs w:val="20"/>
        </w:rPr>
        <w:t xml:space="preserve">distribution for the schools with the lowest proportions of students meeting the standards is less variable. </w:t>
      </w: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Part 1: Dotplot Construction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Essentially correct (E) if the dotplots are given with appropriate labels and scales (minor errors in the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placement of the dots are okay).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>Incorrect (I) if the labels or scales are missing OR if a histogram with dots or a scatterplot is given</w:t>
      </w: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2E0EC4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  <w:u w:val="single"/>
        </w:rPr>
        <w:t>Part 2: Center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>Essentially correct (E) if the response states that the two distributions have app</w:t>
      </w:r>
      <w:r>
        <w:rPr>
          <w:rFonts w:ascii="Comic Sans MS" w:hAnsi="Comic Sans MS" w:cs="Comic Sans MS"/>
          <w:sz w:val="20"/>
          <w:szCs w:val="20"/>
        </w:rPr>
        <w:t xml:space="preserve">roximately the same center (no </w:t>
      </w:r>
      <w:r w:rsidRPr="00D836A7">
        <w:rPr>
          <w:rFonts w:ascii="Comic Sans MS" w:hAnsi="Comic Sans MS" w:cs="Comic Sans MS"/>
          <w:sz w:val="20"/>
          <w:szCs w:val="20"/>
        </w:rPr>
        <w:t xml:space="preserve">numerical values are required) OR if the response states that the means are slightly different.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Incorrect (I) if measures of center are not given OR if they are given, but there </w:t>
      </w:r>
      <w:r>
        <w:rPr>
          <w:rFonts w:ascii="Comic Sans MS" w:hAnsi="Comic Sans MS" w:cs="Comic Sans MS"/>
          <w:sz w:val="20"/>
          <w:szCs w:val="20"/>
        </w:rPr>
        <w:t xml:space="preserve">is no comparison of the center </w:t>
      </w:r>
      <w:r w:rsidRPr="00D836A7">
        <w:rPr>
          <w:rFonts w:ascii="Comic Sans MS" w:hAnsi="Comic Sans MS" w:cs="Comic Sans MS"/>
          <w:sz w:val="20"/>
          <w:szCs w:val="20"/>
        </w:rPr>
        <w:t>of the two distributions.</w:t>
      </w:r>
    </w:p>
    <w:p w:rsidR="002E0EC4" w:rsidRDefault="002E0EC4" w:rsidP="00D836A7">
      <w:pPr>
        <w:rPr>
          <w:rFonts w:ascii="Comic Sans MS" w:hAnsi="Comic Sans MS" w:cs="Comic Sans MS"/>
          <w:sz w:val="20"/>
          <w:szCs w:val="20"/>
        </w:rPr>
      </w:pPr>
    </w:p>
    <w:p w:rsidR="002E0EC4" w:rsidRPr="00D836A7" w:rsidRDefault="002E0EC4" w:rsidP="00D836A7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D836A7">
        <w:rPr>
          <w:rFonts w:ascii="Comic Sans MS" w:hAnsi="Comic Sans MS" w:cs="Comic Sans MS"/>
          <w:b/>
          <w:bCs/>
          <w:sz w:val="20"/>
          <w:szCs w:val="20"/>
          <w:u w:val="single"/>
        </w:rPr>
        <w:t>Part 3: Spread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Essentially correct (E) if the response states that the spread of the two distributions differs (no numerical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values are required).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>Incorrect (I) if measures of spread are not given OR if they are given, but there i</w:t>
      </w:r>
      <w:r>
        <w:rPr>
          <w:rFonts w:ascii="Comic Sans MS" w:hAnsi="Comic Sans MS" w:cs="Comic Sans MS"/>
          <w:sz w:val="20"/>
          <w:szCs w:val="20"/>
        </w:rPr>
        <w:t xml:space="preserve">s no comparison of the spread </w:t>
      </w:r>
      <w:r w:rsidRPr="00D836A7">
        <w:rPr>
          <w:rFonts w:ascii="Comic Sans MS" w:hAnsi="Comic Sans MS" w:cs="Comic Sans MS"/>
          <w:sz w:val="20"/>
          <w:szCs w:val="20"/>
        </w:rPr>
        <w:t xml:space="preserve">of the two distributions. </w:t>
      </w:r>
    </w:p>
    <w:p w:rsidR="002E0EC4" w:rsidRPr="00D836A7" w:rsidRDefault="002E0EC4" w:rsidP="00D836A7">
      <w:pPr>
        <w:rPr>
          <w:rFonts w:ascii="Comic Sans MS" w:hAnsi="Comic Sans MS" w:cs="Comic Sans MS"/>
          <w:sz w:val="20"/>
          <w:szCs w:val="20"/>
        </w:rPr>
      </w:pPr>
      <w:r w:rsidRPr="00D836A7">
        <w:rPr>
          <w:rFonts w:ascii="Comic Sans MS" w:hAnsi="Comic Sans MS" w:cs="Comic Sans MS"/>
          <w:sz w:val="20"/>
          <w:szCs w:val="20"/>
        </w:rPr>
        <w:t xml:space="preserve"> </w:t>
      </w:r>
    </w:p>
    <w:p w:rsidR="002E0EC4" w:rsidRPr="00D836A7" w:rsidRDefault="002E0EC4" w:rsidP="00D836A7">
      <w:pPr>
        <w:rPr>
          <w:rFonts w:ascii="Comic Sans MS" w:hAnsi="Comic Sans MS" w:cs="Comic Sans MS"/>
          <w:i/>
          <w:iCs/>
          <w:sz w:val="20"/>
          <w:szCs w:val="20"/>
        </w:rPr>
      </w:pPr>
      <w:r w:rsidRPr="00D836A7">
        <w:rPr>
          <w:rFonts w:ascii="Comic Sans MS" w:hAnsi="Comic Sans MS" w:cs="Comic Sans MS"/>
          <w:i/>
          <w:iCs/>
          <w:sz w:val="20"/>
          <w:szCs w:val="20"/>
        </w:rPr>
        <w:t xml:space="preserve">Note: Usually distributions are described in terms of shape, center, and spread. However, with small data sets, shape is difficult to judge, so no comparison of shape is required. </w:t>
      </w:r>
    </w:p>
    <w:sectPr w:rsidR="002E0EC4" w:rsidRPr="00D836A7" w:rsidSect="005A544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F6C"/>
    <w:multiLevelType w:val="hybridMultilevel"/>
    <w:tmpl w:val="128E3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4E0B"/>
    <w:multiLevelType w:val="hybridMultilevel"/>
    <w:tmpl w:val="5298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42"/>
    <w:rsid w:val="000E5AA3"/>
    <w:rsid w:val="002E0EC4"/>
    <w:rsid w:val="002E35CF"/>
    <w:rsid w:val="003F5C5E"/>
    <w:rsid w:val="005663E9"/>
    <w:rsid w:val="005A5442"/>
    <w:rsid w:val="006224FA"/>
    <w:rsid w:val="007D7DAD"/>
    <w:rsid w:val="0083253F"/>
    <w:rsid w:val="00961268"/>
    <w:rsid w:val="00AB75DA"/>
    <w:rsid w:val="00B42995"/>
    <w:rsid w:val="00B62CE7"/>
    <w:rsid w:val="00BB5210"/>
    <w:rsid w:val="00C548CB"/>
    <w:rsid w:val="00CB1C9C"/>
    <w:rsid w:val="00D027AE"/>
    <w:rsid w:val="00D836A7"/>
    <w:rsid w:val="00FD297F"/>
    <w:rsid w:val="00F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5A5442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44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44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44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54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54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54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54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A54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544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54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A54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A54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54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A54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A54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4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4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442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5A54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A544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A544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544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5A5442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5A5442"/>
    <w:rPr>
      <w:b/>
      <w:bCs/>
    </w:rPr>
  </w:style>
  <w:style w:type="character" w:styleId="Emphasis">
    <w:name w:val="Emphasis"/>
    <w:basedOn w:val="DefaultParagraphFont"/>
    <w:uiPriority w:val="99"/>
    <w:qFormat/>
    <w:rsid w:val="005A5442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5A5442"/>
  </w:style>
  <w:style w:type="paragraph" w:styleId="ListParagraph">
    <w:name w:val="List Paragraph"/>
    <w:basedOn w:val="Normal"/>
    <w:uiPriority w:val="99"/>
    <w:qFormat/>
    <w:rsid w:val="005A54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A544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5A544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A5442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A5442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A5442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5A5442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A54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A5442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5A5442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A5442"/>
    <w:pPr>
      <w:outlineLvl w:val="9"/>
    </w:pPr>
  </w:style>
  <w:style w:type="character" w:styleId="Hyperlink">
    <w:name w:val="Hyperlink"/>
    <w:basedOn w:val="DefaultParagraphFont"/>
    <w:uiPriority w:val="99"/>
    <w:semiHidden/>
    <w:rsid w:val="00D836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27A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central.collegeboard.com/apc/public/repository/ap08_statistics_form_b_sgs.pdf" TargetMode="External"/><Relationship Id="rId5" Type="http://schemas.openxmlformats.org/officeDocument/2006/relationships/hyperlink" Target="http://apcentral.collegeboard.com/apc/public/repository/ap08_stat_form_b_frq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630</Words>
  <Characters>3592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Dotplots Level 1</dc:title>
  <dc:subject/>
  <dc:creator>Administrator</dc:creator>
  <cp:keywords/>
  <dc:description/>
  <cp:lastModifiedBy>rkollar</cp:lastModifiedBy>
  <cp:revision>2</cp:revision>
  <cp:lastPrinted>2014-10-21T20:14:00Z</cp:lastPrinted>
  <dcterms:created xsi:type="dcterms:W3CDTF">2014-10-21T20:15:00Z</dcterms:created>
  <dcterms:modified xsi:type="dcterms:W3CDTF">2014-10-21T20:15:00Z</dcterms:modified>
</cp:coreProperties>
</file>